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7FA9" w14:textId="58BBD49A" w:rsidR="004573FD" w:rsidRPr="004573FD" w:rsidRDefault="004573FD" w:rsidP="00457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Form 2</w:t>
      </w:r>
    </w:p>
    <w:p w14:paraId="2C9D61EB" w14:textId="31E3A164" w:rsidR="001470D3" w:rsidRDefault="004573FD" w:rsidP="004573FD">
      <w:pPr>
        <w:tabs>
          <w:tab w:val="left" w:pos="4320"/>
          <w:tab w:val="left" w:pos="11482"/>
        </w:tabs>
        <w:spacing w:after="0" w:line="240" w:lineRule="auto"/>
        <w:ind w:left="-450" w:right="-71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573FD">
        <w:rPr>
          <w:rFonts w:ascii="Times New Roman" w:hAnsi="Times New Roman" w:cs="Times New Roman"/>
          <w:b/>
          <w:i/>
          <w:sz w:val="24"/>
          <w:szCs w:val="24"/>
          <w:lang w:val="en-US"/>
        </w:rPr>
        <w:t>Start-</w:t>
      </w:r>
      <w:r w:rsidR="00BC59EB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4573F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p Crowdfunding –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Risk Acknowledgement</w:t>
      </w:r>
    </w:p>
    <w:p w14:paraId="2CC240F3" w14:textId="77777777" w:rsidR="004573FD" w:rsidRDefault="004573FD" w:rsidP="004573FD">
      <w:pPr>
        <w:tabs>
          <w:tab w:val="left" w:pos="4320"/>
          <w:tab w:val="left" w:pos="11482"/>
        </w:tabs>
        <w:spacing w:after="0" w:line="240" w:lineRule="auto"/>
        <w:ind w:left="-450" w:right="-71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342762E" w14:textId="77777777" w:rsidR="003D7CD1" w:rsidRDefault="003D7CD1" w:rsidP="004573FD">
      <w:pPr>
        <w:tabs>
          <w:tab w:val="left" w:pos="4320"/>
          <w:tab w:val="left" w:pos="11482"/>
        </w:tabs>
        <w:spacing w:after="0" w:line="240" w:lineRule="auto"/>
        <w:ind w:left="-450" w:right="-714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738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8"/>
      </w:tblGrid>
      <w:tr w:rsidR="003D7CD1" w14:paraId="39D17EC4" w14:textId="77777777" w:rsidTr="003D7CD1">
        <w:tc>
          <w:tcPr>
            <w:tcW w:w="9738" w:type="dxa"/>
          </w:tcPr>
          <w:p w14:paraId="17BC9CA1" w14:textId="77777777" w:rsidR="003D7CD1" w:rsidRDefault="004F1275" w:rsidP="003D7CD1">
            <w:pPr>
              <w:tabs>
                <w:tab w:val="left" w:pos="4320"/>
                <w:tab w:val="left" w:pos="11482"/>
              </w:tabs>
              <w:ind w:right="-714"/>
              <w:rPr>
                <w:rFonts w:ascii="Times New Roman" w:eastAsia="Calibri" w:hAnsi="Times New Roman" w:cs="Times New Roman"/>
                <w:bCs/>
                <w:spacing w:val="-14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Issuer Name</w:t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    ________________________________________</w:t>
            </w:r>
            <w:r w:rsidR="003D7CD1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 </w:t>
            </w:r>
          </w:p>
        </w:tc>
      </w:tr>
      <w:tr w:rsidR="003D7CD1" w14:paraId="4EADC28E" w14:textId="77777777" w:rsidTr="003D7CD1">
        <w:tc>
          <w:tcPr>
            <w:tcW w:w="9738" w:type="dxa"/>
          </w:tcPr>
          <w:p w14:paraId="34F8FA79" w14:textId="77777777" w:rsidR="003D7CD1" w:rsidRDefault="003D7CD1" w:rsidP="003D7CD1">
            <w:pPr>
              <w:tabs>
                <w:tab w:val="left" w:pos="4320"/>
                <w:tab w:val="left" w:pos="11482"/>
              </w:tabs>
              <w:ind w:right="-714"/>
              <w:rPr>
                <w:rFonts w:ascii="Times New Roman" w:eastAsia="Calibri" w:hAnsi="Times New Roman" w:cs="Times New Roman"/>
                <w:bCs/>
                <w:spacing w:val="-14"/>
                <w:sz w:val="24"/>
                <w:szCs w:val="24"/>
                <w:lang w:val="en-CA"/>
              </w:rPr>
            </w:pPr>
          </w:p>
        </w:tc>
      </w:tr>
      <w:tr w:rsidR="003D7CD1" w14:paraId="572CB272" w14:textId="77777777" w:rsidTr="003D7CD1">
        <w:tc>
          <w:tcPr>
            <w:tcW w:w="9738" w:type="dxa"/>
          </w:tcPr>
          <w:p w14:paraId="7B0DB02D" w14:textId="77777777" w:rsidR="003D7CD1" w:rsidRDefault="003D7CD1" w:rsidP="003D7CD1">
            <w:pPr>
              <w:tabs>
                <w:tab w:val="left" w:pos="4320"/>
                <w:tab w:val="left" w:pos="11482"/>
              </w:tabs>
              <w:ind w:right="-714"/>
              <w:rPr>
                <w:rFonts w:ascii="Times New Roman" w:eastAsia="Calibri" w:hAnsi="Times New Roman" w:cs="Times New Roman"/>
                <w:bCs/>
                <w:spacing w:val="-14"/>
                <w:sz w:val="24"/>
                <w:szCs w:val="24"/>
                <w:lang w:val="en-CA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Type of Eligible Security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o</w:t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ffered:</w:t>
            </w:r>
            <w:r w:rsidR="004F1275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    ________________________________________</w:t>
            </w:r>
          </w:p>
        </w:tc>
      </w:tr>
      <w:tr w:rsidR="004F1275" w14:paraId="274B14C5" w14:textId="77777777" w:rsidTr="003D7CD1">
        <w:tc>
          <w:tcPr>
            <w:tcW w:w="9738" w:type="dxa"/>
          </w:tcPr>
          <w:p w14:paraId="68C6A23E" w14:textId="77777777" w:rsidR="004F1275" w:rsidRPr="00052448" w:rsidRDefault="004F1275" w:rsidP="003D7CD1">
            <w:pPr>
              <w:tabs>
                <w:tab w:val="left" w:pos="4320"/>
                <w:tab w:val="left" w:pos="11482"/>
              </w:tabs>
              <w:ind w:right="-714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</w:tc>
      </w:tr>
    </w:tbl>
    <w:p w14:paraId="066880CB" w14:textId="77777777" w:rsidR="00015F45" w:rsidRDefault="00015F45" w:rsidP="004F1275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 w:cs="Times New Roman"/>
          <w:sz w:val="24"/>
          <w:szCs w:val="24"/>
          <w:lang w:val="en-CA"/>
        </w:rPr>
      </w:pPr>
    </w:p>
    <w:p w14:paraId="72219A33" w14:textId="77777777" w:rsidR="003D7CD1" w:rsidRPr="00052448" w:rsidRDefault="003D7CD1" w:rsidP="00003D6C">
      <w:pPr>
        <w:widowControl w:val="0"/>
        <w:autoSpaceDE w:val="0"/>
        <w:autoSpaceDN w:val="0"/>
        <w:adjustRightInd w:val="0"/>
        <w:spacing w:after="0" w:line="240" w:lineRule="auto"/>
        <w:ind w:left="-630" w:right="-7"/>
        <w:rPr>
          <w:rFonts w:ascii="Times New Roman" w:hAnsi="Times New Roman" w:cs="Times New Roman"/>
          <w:sz w:val="24"/>
          <w:szCs w:val="24"/>
          <w:lang w:val="en-CA"/>
        </w:rPr>
      </w:pPr>
    </w:p>
    <w:tbl>
      <w:tblPr>
        <w:tblStyle w:val="TableGrid"/>
        <w:tblW w:w="9630" w:type="dxa"/>
        <w:tblInd w:w="-3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551E2A" w:rsidRPr="00052448" w14:paraId="62A54766" w14:textId="77777777" w:rsidTr="001470D3">
        <w:tc>
          <w:tcPr>
            <w:tcW w:w="9630" w:type="dxa"/>
          </w:tcPr>
          <w:p w14:paraId="0E25880C" w14:textId="77777777" w:rsidR="00551E2A" w:rsidRPr="00732078" w:rsidRDefault="00551E2A" w:rsidP="00AB3C70">
            <w:pPr>
              <w:widowControl w:val="0"/>
              <w:autoSpaceDE w:val="0"/>
              <w:autoSpaceDN w:val="0"/>
              <w:adjustRightInd w:val="0"/>
              <w:ind w:right="-7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73207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CA"/>
              </w:rPr>
              <w:t>WARNING!</w:t>
            </w:r>
          </w:p>
          <w:p w14:paraId="50E0EF07" w14:textId="77777777" w:rsidR="00BC5335" w:rsidRPr="00732078" w:rsidRDefault="00493D38" w:rsidP="00AB3C70">
            <w:pPr>
              <w:widowControl w:val="0"/>
              <w:autoSpaceDE w:val="0"/>
              <w:autoSpaceDN w:val="0"/>
              <w:adjustRightInd w:val="0"/>
              <w:ind w:left="-392" w:right="-225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CA"/>
              </w:rPr>
            </w:pPr>
            <w:r w:rsidRPr="0073207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CA"/>
              </w:rPr>
              <w:t xml:space="preserve">BUYER BEWARE: </w:t>
            </w:r>
            <w:r w:rsidR="00551E2A" w:rsidRPr="0073207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CA"/>
              </w:rPr>
              <w:t xml:space="preserve">This investment is risky. </w:t>
            </w:r>
          </w:p>
          <w:p w14:paraId="603EC1FF" w14:textId="2BEA8B11" w:rsidR="00551E2A" w:rsidRPr="00732078" w:rsidRDefault="00551E2A" w:rsidP="00AB3C70">
            <w:pPr>
              <w:widowControl w:val="0"/>
              <w:autoSpaceDE w:val="0"/>
              <w:autoSpaceDN w:val="0"/>
              <w:adjustRightInd w:val="0"/>
              <w:ind w:left="-392" w:right="-225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CA"/>
              </w:rPr>
            </w:pPr>
            <w:r w:rsidRPr="0073207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CA"/>
              </w:rPr>
              <w:t>Don</w:t>
            </w:r>
            <w:r w:rsidR="00D53F25" w:rsidRPr="0073207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CA"/>
              </w:rPr>
              <w:t>'</w:t>
            </w:r>
            <w:r w:rsidRPr="0073207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CA"/>
              </w:rPr>
              <w:t xml:space="preserve">t invest unless you can afford to lose all </w:t>
            </w:r>
            <w:r w:rsidR="009031C4" w:rsidRPr="0073207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CA"/>
              </w:rPr>
              <w:t>the money you pay for this</w:t>
            </w:r>
            <w:r w:rsidRPr="0073207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CA"/>
              </w:rPr>
              <w:t xml:space="preserve"> investment</w:t>
            </w:r>
            <w:r w:rsidR="00876F93" w:rsidRPr="0073207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CA"/>
              </w:rPr>
              <w:t>.</w:t>
            </w:r>
          </w:p>
        </w:tc>
      </w:tr>
    </w:tbl>
    <w:p w14:paraId="79B1063E" w14:textId="77777777" w:rsidR="00BA3D4D" w:rsidRPr="00052448" w:rsidRDefault="00BA3D4D" w:rsidP="00AB3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14:paraId="174971D6" w14:textId="77777777" w:rsidR="00457959" w:rsidRPr="00052448" w:rsidRDefault="00457959" w:rsidP="00AB3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</w:p>
    <w:tbl>
      <w:tblPr>
        <w:tblStyle w:val="TableGrid"/>
        <w:tblW w:w="9630" w:type="dxa"/>
        <w:tblInd w:w="-342" w:type="dxa"/>
        <w:tblLook w:val="04A0" w:firstRow="1" w:lastRow="0" w:firstColumn="1" w:lastColumn="0" w:noHBand="0" w:noVBand="1"/>
      </w:tblPr>
      <w:tblGrid>
        <w:gridCol w:w="7257"/>
        <w:gridCol w:w="990"/>
        <w:gridCol w:w="1383"/>
      </w:tblGrid>
      <w:tr w:rsidR="00126AAD" w:rsidRPr="00052448" w14:paraId="38A75E9F" w14:textId="77777777" w:rsidTr="001470D3">
        <w:trPr>
          <w:tblHeader/>
        </w:trPr>
        <w:tc>
          <w:tcPr>
            <w:tcW w:w="7257" w:type="dxa"/>
            <w:tcBorders>
              <w:top w:val="nil"/>
              <w:left w:val="nil"/>
            </w:tcBorders>
          </w:tcPr>
          <w:p w14:paraId="77A0D536" w14:textId="77777777" w:rsidR="00126AAD" w:rsidRPr="00052448" w:rsidRDefault="00126AAD" w:rsidP="00B962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CA"/>
              </w:rPr>
            </w:pPr>
          </w:p>
        </w:tc>
        <w:tc>
          <w:tcPr>
            <w:tcW w:w="990" w:type="dxa"/>
          </w:tcPr>
          <w:p w14:paraId="70207AD7" w14:textId="77777777" w:rsidR="00126AAD" w:rsidRPr="00052448" w:rsidRDefault="00126AAD" w:rsidP="00AB3C7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Yes</w:t>
            </w:r>
          </w:p>
        </w:tc>
        <w:tc>
          <w:tcPr>
            <w:tcW w:w="1383" w:type="dxa"/>
          </w:tcPr>
          <w:p w14:paraId="29157E9F" w14:textId="77777777" w:rsidR="00126AAD" w:rsidRPr="00052448" w:rsidRDefault="00126AAD" w:rsidP="00AB3C7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No</w:t>
            </w:r>
          </w:p>
        </w:tc>
      </w:tr>
      <w:tr w:rsidR="001E4EAC" w:rsidRPr="00052448" w14:paraId="16893168" w14:textId="77777777" w:rsidTr="001470D3">
        <w:tc>
          <w:tcPr>
            <w:tcW w:w="9630" w:type="dxa"/>
            <w:gridSpan w:val="3"/>
            <w:shd w:val="clear" w:color="auto" w:fill="A6A6A6" w:themeFill="background1" w:themeFillShade="A6"/>
          </w:tcPr>
          <w:p w14:paraId="07E5D0D5" w14:textId="77777777" w:rsidR="001E4EAC" w:rsidRPr="00052448" w:rsidRDefault="001E4EAC" w:rsidP="00B962B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1. Risk </w:t>
            </w:r>
            <w:r w:rsidR="00DC661C"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a</w:t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cknowledgment</w:t>
            </w:r>
          </w:p>
        </w:tc>
      </w:tr>
      <w:tr w:rsidR="00126AAD" w:rsidRPr="00052448" w14:paraId="6A6A4709" w14:textId="77777777" w:rsidTr="001470D3">
        <w:tc>
          <w:tcPr>
            <w:tcW w:w="7257" w:type="dxa"/>
          </w:tcPr>
          <w:p w14:paraId="283914D6" w14:textId="77777777" w:rsidR="00126AAD" w:rsidRPr="00052448" w:rsidRDefault="009031C4" w:rsidP="00D53F2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Risk of loss</w:t>
            </w:r>
            <w:r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– </w:t>
            </w:r>
            <w:r w:rsidR="00126AAD"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Do you understand that this is a r</w:t>
            </w:r>
            <w:r w:rsidR="0027382D"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isky investment and that you </w:t>
            </w:r>
            <w:r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may lose all the money you pa</w:t>
            </w:r>
            <w:r w:rsidR="00876F93"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y</w:t>
            </w:r>
            <w:r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for this</w:t>
            </w:r>
            <w:r w:rsidR="007D6625"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investment</w:t>
            </w:r>
            <w:r w:rsidR="00003D6C"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?</w:t>
            </w:r>
          </w:p>
        </w:tc>
        <w:tc>
          <w:tcPr>
            <w:tcW w:w="990" w:type="dxa"/>
            <w:vAlign w:val="center"/>
          </w:tcPr>
          <w:p w14:paraId="30E1161B" w14:textId="77777777" w:rsidR="00126AAD" w:rsidRPr="00052448" w:rsidRDefault="00126AAD" w:rsidP="00AB3C7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instrText xml:space="preserve"> FORMCHECKBOX </w:instrText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4619E4C6" w14:textId="77777777" w:rsidR="00126AAD" w:rsidRPr="00052448" w:rsidRDefault="00126AAD" w:rsidP="00AB3C7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instrText xml:space="preserve"> FORMCHECKBOX </w:instrText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26AAD" w:rsidRPr="00052448" w14:paraId="65538947" w14:textId="77777777" w:rsidTr="001470D3">
        <w:tc>
          <w:tcPr>
            <w:tcW w:w="7257" w:type="dxa"/>
          </w:tcPr>
          <w:p w14:paraId="0A340C93" w14:textId="77777777" w:rsidR="00126AAD" w:rsidRPr="00052448" w:rsidRDefault="00015F45" w:rsidP="00D53F2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No income </w:t>
            </w:r>
            <w:r w:rsidRPr="000524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– Do you understand that you may not earn any income, such as dividends or interest, on this investment?  </w:t>
            </w:r>
          </w:p>
        </w:tc>
        <w:tc>
          <w:tcPr>
            <w:tcW w:w="990" w:type="dxa"/>
            <w:vAlign w:val="center"/>
          </w:tcPr>
          <w:p w14:paraId="09D310E3" w14:textId="77777777" w:rsidR="00126AAD" w:rsidRPr="00052448" w:rsidRDefault="00126AAD" w:rsidP="00AB3C7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instrText xml:space="preserve"> FORMCHECKBOX </w:instrText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013B91C3" w14:textId="77777777" w:rsidR="00126AAD" w:rsidRPr="00052448" w:rsidRDefault="00126AAD" w:rsidP="00AB3C7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instrText xml:space="preserve"> FORMCHECKBOX </w:instrText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26AAD" w:rsidRPr="00052448" w14:paraId="44855122" w14:textId="77777777" w:rsidTr="001470D3">
        <w:tc>
          <w:tcPr>
            <w:tcW w:w="7257" w:type="dxa"/>
          </w:tcPr>
          <w:p w14:paraId="50C665C6" w14:textId="77777777" w:rsidR="00126AAD" w:rsidRPr="00052448" w:rsidRDefault="00015F45" w:rsidP="00D53F2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Liquidity risk</w:t>
            </w:r>
            <w:r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– Do you understand that you may never be able to sell this investment?</w:t>
            </w:r>
          </w:p>
        </w:tc>
        <w:tc>
          <w:tcPr>
            <w:tcW w:w="990" w:type="dxa"/>
            <w:vAlign w:val="center"/>
          </w:tcPr>
          <w:p w14:paraId="663B4155" w14:textId="77777777" w:rsidR="00126AAD" w:rsidRPr="00052448" w:rsidRDefault="00126AAD" w:rsidP="00AB3C7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instrText xml:space="preserve"> FORMCHECKBOX </w:instrText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0A464302" w14:textId="77777777" w:rsidR="00126AAD" w:rsidRPr="00052448" w:rsidRDefault="001E4EAC" w:rsidP="00AB3C7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instrText xml:space="preserve"> FORMCHECKBOX </w:instrText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B6E29" w:rsidRPr="00052448" w14:paraId="7EE24742" w14:textId="77777777" w:rsidTr="001470D3">
        <w:tc>
          <w:tcPr>
            <w:tcW w:w="7257" w:type="dxa"/>
          </w:tcPr>
          <w:p w14:paraId="4986620A" w14:textId="77777777" w:rsidR="002B6E29" w:rsidRPr="00052448" w:rsidRDefault="00015F45" w:rsidP="00D53F2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Lack of information</w:t>
            </w:r>
            <w:r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– Do you understand that you may not be provided with any ongoing information about the issuer and/or this investment?</w:t>
            </w:r>
          </w:p>
        </w:tc>
        <w:tc>
          <w:tcPr>
            <w:tcW w:w="990" w:type="dxa"/>
            <w:vAlign w:val="center"/>
          </w:tcPr>
          <w:p w14:paraId="436BE78F" w14:textId="77777777" w:rsidR="002B6E29" w:rsidRPr="00052448" w:rsidRDefault="002B6E29" w:rsidP="00AB3C7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instrText xml:space="preserve"> FORMCHECKBOX </w:instrText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1D9F2F32" w14:textId="77777777" w:rsidR="002B6E29" w:rsidRPr="00052448" w:rsidRDefault="002B6E29" w:rsidP="00AB3C7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instrText xml:space="preserve"> FORMCHECKBOX </w:instrText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664C3" w:rsidRPr="00052448" w14:paraId="0025FFE4" w14:textId="77777777" w:rsidTr="001470D3">
        <w:tc>
          <w:tcPr>
            <w:tcW w:w="9630" w:type="dxa"/>
            <w:gridSpan w:val="3"/>
            <w:shd w:val="clear" w:color="auto" w:fill="A6A6A6" w:themeFill="background1" w:themeFillShade="A6"/>
            <w:vAlign w:val="center"/>
          </w:tcPr>
          <w:p w14:paraId="49D4B4B9" w14:textId="3F21269D" w:rsidR="00B664C3" w:rsidRPr="00052448" w:rsidRDefault="00493D38" w:rsidP="00145C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2. No </w:t>
            </w:r>
            <w:r w:rsidRPr="0073207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approval and no</w:t>
            </w:r>
            <w:r w:rsidR="00B664C3" w:rsidRPr="0073207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 advice</w:t>
            </w:r>
            <w:r w:rsidR="003B27ED" w:rsidRPr="0073207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 </w:t>
            </w:r>
            <w:r w:rsidR="001E1A09" w:rsidRPr="001E1A09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>[Instructions</w:t>
            </w:r>
            <w:r w:rsidR="001E1A09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: Delete </w:t>
            </w:r>
            <w:r w:rsidR="00145C22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>"</w:t>
            </w:r>
            <w:r w:rsidR="001E1A09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>and no advice</w:t>
            </w:r>
            <w:r w:rsidR="00145C22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>"</w:t>
            </w:r>
            <w:r w:rsidR="001E1A09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 if the funding portal is operated by a registered dealer</w:t>
            </w:r>
            <w:r w:rsidR="008C465E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>.</w:t>
            </w:r>
            <w:r w:rsidR="001E1A09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] </w:t>
            </w:r>
          </w:p>
        </w:tc>
      </w:tr>
      <w:tr w:rsidR="00B664C3" w:rsidRPr="00052448" w14:paraId="1D840035" w14:textId="77777777" w:rsidTr="001470D3">
        <w:tc>
          <w:tcPr>
            <w:tcW w:w="7257" w:type="dxa"/>
          </w:tcPr>
          <w:p w14:paraId="4CD689C5" w14:textId="77777777" w:rsidR="00B664C3" w:rsidRPr="00052448" w:rsidRDefault="00493D38" w:rsidP="00D53F2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No </w:t>
            </w:r>
            <w:r w:rsidR="00B664C3"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approval</w:t>
            </w:r>
            <w:r w:rsidR="00B664C3"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– </w:t>
            </w:r>
            <w:r w:rsidR="00015F45"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Do you understand that this investment has not been reviewed or approved in any way by a securities regulator?</w:t>
            </w:r>
          </w:p>
        </w:tc>
        <w:tc>
          <w:tcPr>
            <w:tcW w:w="990" w:type="dxa"/>
            <w:vAlign w:val="center"/>
          </w:tcPr>
          <w:p w14:paraId="5D703065" w14:textId="77777777" w:rsidR="00B664C3" w:rsidRPr="00052448" w:rsidRDefault="00B664C3" w:rsidP="00AB3C7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instrText xml:space="preserve"> FORMCHECKBOX </w:instrText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33FD7526" w14:textId="77777777" w:rsidR="00B664C3" w:rsidRPr="00052448" w:rsidRDefault="00B664C3" w:rsidP="00AB3C7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instrText xml:space="preserve"> FORMCHECKBOX </w:instrText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664C3" w:rsidRPr="00052448" w14:paraId="6D103D05" w14:textId="77777777" w:rsidTr="001470D3">
        <w:tc>
          <w:tcPr>
            <w:tcW w:w="7257" w:type="dxa"/>
            <w:tcBorders>
              <w:bottom w:val="single" w:sz="4" w:space="0" w:color="auto"/>
            </w:tcBorders>
          </w:tcPr>
          <w:p w14:paraId="6C08BD14" w14:textId="054BA0C5" w:rsidR="00A962CC" w:rsidRDefault="008D5623" w:rsidP="00D53F2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GB"/>
              </w:rPr>
            </w:pPr>
            <w:r w:rsidRPr="00052448">
              <w:rPr>
                <w:rFonts w:ascii="Times New Roman" w:hAnsi="Times New Roman" w:cs="Times New Roman"/>
                <w:b/>
                <w:spacing w:val="7"/>
                <w:sz w:val="24"/>
                <w:szCs w:val="24"/>
                <w:lang w:val="en-GB"/>
              </w:rPr>
              <w:t>No</w:t>
            </w:r>
            <w:r w:rsidR="00B664C3" w:rsidRPr="00052448">
              <w:rPr>
                <w:rFonts w:ascii="Times New Roman" w:hAnsi="Times New Roman" w:cs="Times New Roman"/>
                <w:b/>
                <w:spacing w:val="7"/>
                <w:sz w:val="24"/>
                <w:szCs w:val="24"/>
                <w:lang w:val="en-CA"/>
              </w:rPr>
              <w:t xml:space="preserve"> advice</w:t>
            </w:r>
            <w:r w:rsidRPr="00052448">
              <w:rPr>
                <w:rFonts w:ascii="Times New Roman" w:hAnsi="Times New Roman" w:cs="Times New Roman"/>
                <w:spacing w:val="7"/>
                <w:sz w:val="24"/>
                <w:szCs w:val="24"/>
                <w:lang w:val="en-CA"/>
              </w:rPr>
              <w:t xml:space="preserve"> –</w:t>
            </w:r>
            <w:r w:rsidR="00656606" w:rsidRPr="00052448">
              <w:rPr>
                <w:rFonts w:ascii="Times New Roman" w:hAnsi="Times New Roman" w:cs="Times New Roman"/>
                <w:spacing w:val="7"/>
                <w:sz w:val="24"/>
                <w:szCs w:val="24"/>
                <w:lang w:val="en-CA"/>
              </w:rPr>
              <w:t xml:space="preserve"> </w:t>
            </w:r>
            <w:r w:rsidR="00B664C3"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Do you understand that you wil</w:t>
            </w:r>
            <w:r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l not receive advice about your</w:t>
            </w:r>
            <w:r w:rsidR="00E96B93"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investment?</w:t>
            </w:r>
            <w:r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Pr="000524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5244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[</w:t>
            </w:r>
            <w:r w:rsidR="00700B30" w:rsidRPr="0005244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Instructions: Delete if the funding portal is </w:t>
            </w:r>
            <w:r w:rsidR="00015F45" w:rsidRPr="0005244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operated by a registered dealer</w:t>
            </w:r>
            <w:r w:rsidR="003B27ED" w:rsidRPr="0005244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.</w:t>
            </w:r>
            <w:r w:rsidRPr="0005244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]</w:t>
            </w:r>
          </w:p>
          <w:p w14:paraId="3D812B9F" w14:textId="77777777" w:rsidR="00A962CC" w:rsidRPr="00A962CC" w:rsidRDefault="00A962CC" w:rsidP="00D53F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3829650" w14:textId="77777777" w:rsidR="00A962CC" w:rsidRPr="00A962CC" w:rsidRDefault="00A962CC" w:rsidP="00D53F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16358F8" w14:textId="63CD3548" w:rsidR="00A962CC" w:rsidRDefault="00A962CC" w:rsidP="00D53F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5281EA2A" w14:textId="371C86E8" w:rsidR="00764848" w:rsidRDefault="00764848" w:rsidP="00D53F25">
            <w:pPr>
              <w:tabs>
                <w:tab w:val="left" w:pos="18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28E606C6" w14:textId="6D02D8E7" w:rsidR="00B664C3" w:rsidRPr="00764848" w:rsidRDefault="001E1A09" w:rsidP="001E1A09">
            <w:pPr>
              <w:tabs>
                <w:tab w:val="left" w:pos="100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ab/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64AA194" w14:textId="77777777" w:rsidR="00B664C3" w:rsidRPr="00052448" w:rsidRDefault="00B664C3" w:rsidP="00AB3C7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instrText xml:space="preserve"> FORMCHECKBOX </w:instrText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1825613E" w14:textId="77777777" w:rsidR="00B664C3" w:rsidRPr="00052448" w:rsidRDefault="00B664C3" w:rsidP="00AB3C7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instrText xml:space="preserve"> FORMCHECKBOX </w:instrText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664C3" w:rsidRPr="00052448" w14:paraId="198F0B00" w14:textId="77777777" w:rsidTr="001470D3">
        <w:tc>
          <w:tcPr>
            <w:tcW w:w="9630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01DD2F" w14:textId="77777777" w:rsidR="00B664C3" w:rsidRPr="00052448" w:rsidRDefault="00B664C3" w:rsidP="00D53F25">
            <w:pPr>
              <w:keepNext/>
              <w:spacing w:beforeLines="60" w:before="144" w:afterLines="60" w:after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3. L</w:t>
            </w:r>
            <w:r w:rsidR="00457959"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imited l</w:t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egal rights</w:t>
            </w:r>
          </w:p>
        </w:tc>
      </w:tr>
      <w:tr w:rsidR="00B664C3" w:rsidRPr="00052448" w14:paraId="0187843E" w14:textId="77777777" w:rsidTr="00193743">
        <w:trPr>
          <w:trHeight w:val="998"/>
        </w:trPr>
        <w:tc>
          <w:tcPr>
            <w:tcW w:w="7257" w:type="dxa"/>
            <w:tcBorders>
              <w:top w:val="single" w:sz="4" w:space="0" w:color="auto"/>
            </w:tcBorders>
          </w:tcPr>
          <w:p w14:paraId="1FA5B7F3" w14:textId="77777777" w:rsidR="00B664C3" w:rsidRPr="00052448" w:rsidRDefault="000D38DD" w:rsidP="00D53F25">
            <w:pPr>
              <w:keepNext/>
              <w:tabs>
                <w:tab w:val="left" w:pos="459"/>
              </w:tabs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Limited legal rights</w:t>
            </w:r>
            <w:r w:rsidRPr="00052448" w:rsidDel="000D38DD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 </w:t>
            </w:r>
            <w:r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– </w:t>
            </w:r>
            <w:r w:rsidR="004768CD" w:rsidRPr="00052448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Do you understand that</w:t>
            </w:r>
            <w:r w:rsidRPr="00052448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CF4C49" w:rsidRPr="00052448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>you will not have the same rights as if you purchased under a prospectus or through a stock exchange?</w:t>
            </w:r>
          </w:p>
          <w:p w14:paraId="338E9A8D" w14:textId="77777777" w:rsidR="00B664C3" w:rsidRPr="00052448" w:rsidRDefault="00B664C3" w:rsidP="00D53F25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  <w:lang w:val="en-CA"/>
              </w:rPr>
            </w:pPr>
            <w:r w:rsidRPr="0005244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If</w:t>
            </w:r>
            <w:r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you want to know more, you</w:t>
            </w:r>
            <w:r w:rsidR="00015F45"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may</w:t>
            </w:r>
            <w:r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need to seek professional legal advice</w:t>
            </w:r>
            <w:r w:rsidRPr="00052448">
              <w:rPr>
                <w:rFonts w:ascii="Times New Roman" w:hAnsi="Times New Roman" w:cs="Times New Roman"/>
                <w:spacing w:val="7"/>
                <w:sz w:val="24"/>
                <w:szCs w:val="24"/>
                <w:lang w:val="en-CA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0CBF2AF" w14:textId="77777777" w:rsidR="00B664C3" w:rsidRPr="00052448" w:rsidRDefault="0093235D" w:rsidP="00254EB8">
            <w:pPr>
              <w:keepNext/>
              <w:keepLines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Lines="60" w:before="144" w:afterLines="60" w:after="144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383" w:type="dxa"/>
            <w:tcBorders>
              <w:top w:val="single" w:sz="4" w:space="0" w:color="auto"/>
            </w:tcBorders>
          </w:tcPr>
          <w:p w14:paraId="2B29E6C9" w14:textId="77777777" w:rsidR="00B664C3" w:rsidRPr="00052448" w:rsidRDefault="00B664C3" w:rsidP="00193743">
            <w:pPr>
              <w:keepNext/>
              <w:keepLines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instrText xml:space="preserve"> FORMCHECKBOX </w:instrText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664C3" w:rsidRPr="00052448" w14:paraId="700A9D95" w14:textId="77777777" w:rsidTr="001470D3">
        <w:tc>
          <w:tcPr>
            <w:tcW w:w="9630" w:type="dxa"/>
            <w:gridSpan w:val="3"/>
            <w:shd w:val="clear" w:color="auto" w:fill="A6A6A6" w:themeFill="background1" w:themeFillShade="A6"/>
            <w:vAlign w:val="center"/>
          </w:tcPr>
          <w:p w14:paraId="46E8E79F" w14:textId="0EBE1C97" w:rsidR="00B664C3" w:rsidRPr="00052448" w:rsidRDefault="00B664C3" w:rsidP="00D53F25">
            <w:pPr>
              <w:keepNext/>
              <w:keepLines/>
              <w:spacing w:beforeLines="60" w:before="144" w:afterLines="60" w:after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4. </w:t>
            </w:r>
            <w:r w:rsidR="00015F45"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Purchaser</w:t>
            </w:r>
            <w:r w:rsidR="00D53F25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'</w:t>
            </w:r>
            <w:r w:rsidR="00015F45"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s acknowledgement</w:t>
            </w:r>
          </w:p>
        </w:tc>
      </w:tr>
      <w:tr w:rsidR="00B664C3" w:rsidRPr="00052448" w14:paraId="1FAAE397" w14:textId="77777777" w:rsidTr="001470D3">
        <w:tc>
          <w:tcPr>
            <w:tcW w:w="7257" w:type="dxa"/>
          </w:tcPr>
          <w:p w14:paraId="624C5084" w14:textId="77777777" w:rsidR="00B664C3" w:rsidRPr="00052448" w:rsidRDefault="003F509B" w:rsidP="00D53F25">
            <w:pPr>
              <w:keepNext/>
              <w:keepLines/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Investment </w:t>
            </w:r>
            <w:r w:rsidR="006C2F5F"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risks</w:t>
            </w:r>
            <w:r w:rsidR="00B664C3"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– </w:t>
            </w:r>
            <w:r w:rsidR="00024B0A"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Have you</w:t>
            </w:r>
            <w:r w:rsidR="00457959"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read</w:t>
            </w:r>
            <w:r w:rsidR="008D5623"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B664C3"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this form </w:t>
            </w:r>
            <w:r w:rsidR="00B664C3" w:rsidRPr="00052448">
              <w:rPr>
                <w:rFonts w:ascii="Times New Roman" w:hAnsi="Times New Roman" w:cs="Times New Roman"/>
                <w:w w:val="102"/>
                <w:sz w:val="24"/>
                <w:szCs w:val="24"/>
                <w:lang w:val="en-CA"/>
              </w:rPr>
              <w:t xml:space="preserve">and </w:t>
            </w:r>
            <w:r w:rsidR="00024B0A" w:rsidRPr="00052448">
              <w:rPr>
                <w:rFonts w:ascii="Times New Roman" w:hAnsi="Times New Roman" w:cs="Times New Roman"/>
                <w:w w:val="102"/>
                <w:sz w:val="24"/>
                <w:szCs w:val="24"/>
                <w:lang w:val="en-CA"/>
              </w:rPr>
              <w:t xml:space="preserve">do you </w:t>
            </w:r>
            <w:r w:rsidR="008D5623"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underst</w:t>
            </w:r>
            <w:r w:rsidR="00024B0A"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and</w:t>
            </w:r>
            <w:r w:rsidR="008D5623"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B664C3" w:rsidRPr="00052448">
              <w:rPr>
                <w:rFonts w:ascii="Times New Roman" w:hAnsi="Times New Roman" w:cs="Times New Roman"/>
                <w:w w:val="102"/>
                <w:sz w:val="24"/>
                <w:szCs w:val="24"/>
                <w:lang w:val="en-CA"/>
              </w:rPr>
              <w:t xml:space="preserve">the </w:t>
            </w:r>
            <w:r w:rsidR="008D5623" w:rsidRPr="00052448">
              <w:rPr>
                <w:rFonts w:ascii="Times New Roman" w:hAnsi="Times New Roman" w:cs="Times New Roman"/>
                <w:w w:val="102"/>
                <w:sz w:val="24"/>
                <w:szCs w:val="24"/>
                <w:lang w:val="en-CA"/>
              </w:rPr>
              <w:t>risks of making this investment?</w:t>
            </w:r>
          </w:p>
        </w:tc>
        <w:tc>
          <w:tcPr>
            <w:tcW w:w="990" w:type="dxa"/>
            <w:vAlign w:val="center"/>
          </w:tcPr>
          <w:p w14:paraId="24B9CDAB" w14:textId="77777777" w:rsidR="00B664C3" w:rsidRPr="00052448" w:rsidRDefault="00B664C3" w:rsidP="00B962B3">
            <w:pPr>
              <w:keepNext/>
              <w:keepLines/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instrText xml:space="preserve"> FORMCHECKBOX </w:instrText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83" w:type="dxa"/>
            <w:vAlign w:val="center"/>
          </w:tcPr>
          <w:p w14:paraId="0713DA50" w14:textId="77777777" w:rsidR="00B664C3" w:rsidRPr="00052448" w:rsidRDefault="00B664C3" w:rsidP="00B962B3">
            <w:pPr>
              <w:keepNext/>
              <w:keepLines/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instrText xml:space="preserve"> FORMCHECKBOX </w:instrText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D5623" w:rsidRPr="00052448" w14:paraId="14971959" w14:textId="77777777" w:rsidTr="0093235D">
        <w:tc>
          <w:tcPr>
            <w:tcW w:w="7257" w:type="dxa"/>
          </w:tcPr>
          <w:p w14:paraId="79E9D7FE" w14:textId="77777777" w:rsidR="00636451" w:rsidRPr="00052448" w:rsidRDefault="006C2F5F" w:rsidP="00D53F25">
            <w:pPr>
              <w:keepNext/>
              <w:keepLines/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O</w:t>
            </w:r>
            <w:r w:rsidR="008D5623"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ffering document</w:t>
            </w:r>
            <w:r w:rsidR="008D5623"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– </w:t>
            </w:r>
            <w:r w:rsidR="00636451"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Before you </w:t>
            </w:r>
            <w:r w:rsidR="00024B0A"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invest</w:t>
            </w:r>
            <w:r w:rsidR="00636451"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, you should read the offering document carefully. The offering document contains important information about </w:t>
            </w:r>
            <w:r w:rsidR="00024B0A"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this</w:t>
            </w:r>
            <w:r w:rsidR="00636451"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investment. If you have not read the offering document or if you do not understand the information in it, you should</w:t>
            </w:r>
            <w:r w:rsidR="002B3F8B"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not</w:t>
            </w:r>
            <w:r w:rsidR="00636451"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invest.</w:t>
            </w:r>
          </w:p>
          <w:p w14:paraId="1B1017B2" w14:textId="77777777" w:rsidR="008D5623" w:rsidRPr="00052448" w:rsidRDefault="00636451" w:rsidP="00D53F25">
            <w:pPr>
              <w:keepNext/>
              <w:keepLines/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Have you read and do you understand the information in the offering document?</w:t>
            </w:r>
          </w:p>
        </w:tc>
        <w:tc>
          <w:tcPr>
            <w:tcW w:w="990" w:type="dxa"/>
            <w:vAlign w:val="bottom"/>
          </w:tcPr>
          <w:p w14:paraId="5369DB35" w14:textId="77777777" w:rsidR="008D5623" w:rsidRPr="00052448" w:rsidRDefault="008D5623" w:rsidP="0093235D">
            <w:pPr>
              <w:keepNext/>
              <w:keepLines/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instrText xml:space="preserve"> FORMCHECKBOX </w:instrText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83" w:type="dxa"/>
            <w:vAlign w:val="bottom"/>
          </w:tcPr>
          <w:p w14:paraId="1F0B6E67" w14:textId="77777777" w:rsidR="008D5623" w:rsidRPr="00052448" w:rsidRDefault="008D5623" w:rsidP="0093235D">
            <w:pPr>
              <w:keepNext/>
              <w:keepLines/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instrText xml:space="preserve"> FORMCHECKBOX </w:instrText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A7408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664C3" w:rsidRPr="00052448" w14:paraId="2F59A505" w14:textId="77777777" w:rsidTr="001470D3">
        <w:tc>
          <w:tcPr>
            <w:tcW w:w="9630" w:type="dxa"/>
            <w:gridSpan w:val="3"/>
          </w:tcPr>
          <w:p w14:paraId="03B41A17" w14:textId="77777777" w:rsidR="00B664C3" w:rsidRPr="00052448" w:rsidRDefault="00B664C3" w:rsidP="00D53F25">
            <w:pPr>
              <w:keepNext/>
              <w:keepLines/>
              <w:spacing w:beforeLines="60" w:before="144" w:afterLines="60" w:after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First</w:t>
            </w:r>
            <w:r w:rsidR="005725D8" w:rsidRPr="0005244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and last name</w:t>
            </w:r>
            <w:r w:rsidR="00493D38" w:rsidRPr="0005244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="00CE7307" w:rsidRPr="0005244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B664C3" w:rsidRPr="00052448" w14:paraId="6998D0DE" w14:textId="77777777" w:rsidTr="001470D3">
        <w:tc>
          <w:tcPr>
            <w:tcW w:w="9630" w:type="dxa"/>
            <w:gridSpan w:val="3"/>
          </w:tcPr>
          <w:p w14:paraId="1D1C814B" w14:textId="77777777" w:rsidR="00B664C3" w:rsidRPr="00052448" w:rsidRDefault="00457959" w:rsidP="00D53F25">
            <w:pPr>
              <w:keepNext/>
              <w:keepLines/>
              <w:spacing w:beforeLines="60" w:before="144" w:afterLines="60" w:after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lastRenderedPageBreak/>
              <w:t>Electronic signature:</w:t>
            </w:r>
            <w:r w:rsidR="005725D8"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B664C3"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By clicking the [I confirm] button, I acknowledge that I am signing this form electronically and agree that this is the legal equivalent of my handwritten signature. I will not at any time in the future claim that my electronic signature is not legally binding.</w:t>
            </w:r>
            <w:r w:rsidR="00024B0A" w:rsidRPr="00052448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The date of my electronic signature is the same as my acknowledgement.</w:t>
            </w:r>
          </w:p>
        </w:tc>
      </w:tr>
      <w:tr w:rsidR="00493D38" w:rsidRPr="00052448" w14:paraId="40440789" w14:textId="77777777" w:rsidTr="001470D3">
        <w:tc>
          <w:tcPr>
            <w:tcW w:w="9630" w:type="dxa"/>
            <w:gridSpan w:val="3"/>
            <w:shd w:val="clear" w:color="auto" w:fill="A6A6A6" w:themeFill="background1" w:themeFillShade="A6"/>
          </w:tcPr>
          <w:p w14:paraId="2691BE73" w14:textId="77777777" w:rsidR="00493D38" w:rsidRPr="00052448" w:rsidRDefault="00493D38" w:rsidP="00D53F25">
            <w:pPr>
              <w:keepNext/>
              <w:keepLines/>
              <w:spacing w:beforeLines="60" w:before="144" w:afterLines="60" w:after="14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5. Additional information</w:t>
            </w:r>
          </w:p>
        </w:tc>
      </w:tr>
      <w:tr w:rsidR="00493D38" w:rsidRPr="00052448" w14:paraId="3046F148" w14:textId="77777777" w:rsidTr="001470D3">
        <w:tc>
          <w:tcPr>
            <w:tcW w:w="9630" w:type="dxa"/>
            <w:gridSpan w:val="3"/>
          </w:tcPr>
          <w:p w14:paraId="0CE1F0BC" w14:textId="77777777" w:rsidR="00CF4C49" w:rsidRPr="00052448" w:rsidRDefault="00CF4C49" w:rsidP="00D53F25">
            <w:pPr>
              <w:pStyle w:val="ListParagraph"/>
              <w:keepNext/>
              <w:keepLines/>
              <w:widowControl w:val="0"/>
              <w:numPr>
                <w:ilvl w:val="2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Lines="60" w:before="144" w:afterLines="60" w:after="144"/>
              <w:ind w:left="459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You have 48 hours to cancel your purchase</w:t>
            </w:r>
            <w:r w:rsidR="00C1543C" w:rsidRPr="0005244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by sending a </w:t>
            </w:r>
            <w:r w:rsidR="001451EF" w:rsidRPr="0005244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notice to the funding portal at:</w:t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05244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[</w:t>
            </w:r>
            <w:r w:rsidR="001451EF" w:rsidRPr="0005244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Instructions: Provide email address or fax number where </w:t>
            </w:r>
            <w:r w:rsidR="00522445" w:rsidRPr="0005244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purchasers</w:t>
            </w:r>
            <w:r w:rsidR="001451EF" w:rsidRPr="0005244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can send their notice. Describe</w:t>
            </w:r>
            <w:r w:rsidRPr="0005244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r w:rsidR="001451EF" w:rsidRPr="0005244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any other manner for </w:t>
            </w:r>
            <w:r w:rsidR="00522445" w:rsidRPr="0005244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purchasers</w:t>
            </w:r>
            <w:r w:rsidRPr="0005244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r w:rsidR="001451EF" w:rsidRPr="0005244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to</w:t>
            </w:r>
            <w:r w:rsidRPr="0005244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 cancel their purchase.]</w:t>
            </w:r>
          </w:p>
          <w:p w14:paraId="52DD073B" w14:textId="77777777" w:rsidR="00CF4C49" w:rsidRPr="00052448" w:rsidRDefault="00CF4C49" w:rsidP="00D53F25">
            <w:pPr>
              <w:pStyle w:val="ListParagraph"/>
              <w:keepNext/>
              <w:keepLines/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beforeLines="60" w:before="144" w:afterLines="60" w:after="144"/>
              <w:ind w:left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046B3F59" w14:textId="1258FBDA" w:rsidR="00D034D8" w:rsidRPr="00052448" w:rsidRDefault="008D5623" w:rsidP="00D53F25">
            <w:pPr>
              <w:pStyle w:val="ListParagraph"/>
              <w:keepNext/>
              <w:keepLines/>
              <w:widowControl w:val="0"/>
              <w:numPr>
                <w:ilvl w:val="2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Lines="60" w:before="144" w:afterLines="60" w:after="144"/>
              <w:ind w:left="459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If you want more information about your local securities regulation, go to </w:t>
            </w:r>
            <w:hyperlink r:id="rId7" w:history="1">
              <w:r w:rsidR="00D034D8" w:rsidRPr="00052448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www.securities-administrators.ca</w:t>
              </w:r>
            </w:hyperlink>
            <w:r w:rsidR="00D034D8" w:rsidRPr="0005244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 Securities regulators do not provide advice on investment.</w:t>
            </w:r>
          </w:p>
          <w:p w14:paraId="2169F5CD" w14:textId="77777777" w:rsidR="008D5623" w:rsidRPr="00052448" w:rsidRDefault="008D5623" w:rsidP="00D53F25">
            <w:pPr>
              <w:pStyle w:val="ListParagraph"/>
              <w:keepNext/>
              <w:keepLines/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beforeLines="60" w:before="144" w:afterLines="60" w:after="144"/>
              <w:ind w:left="45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79078359" w14:textId="7AC2A425" w:rsidR="00AA4FB6" w:rsidRPr="00052448" w:rsidRDefault="008D5623" w:rsidP="00D53F25">
            <w:pPr>
              <w:pStyle w:val="ListParagraph"/>
              <w:keepNext/>
              <w:keepLines/>
              <w:widowControl w:val="0"/>
              <w:numPr>
                <w:ilvl w:val="2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beforeLines="60" w:before="144" w:afterLines="60" w:after="144"/>
              <w:ind w:left="459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To check if the funding portal is </w:t>
            </w:r>
            <w:r w:rsidR="00015F45" w:rsidRPr="0005244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operated by a </w:t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registered</w:t>
            </w:r>
            <w:r w:rsidR="00015F45" w:rsidRPr="0005244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dealer</w:t>
            </w:r>
            <w:r w:rsidRPr="0005244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, go to </w:t>
            </w:r>
            <w:hyperlink r:id="rId8" w:history="1">
              <w:r w:rsidRPr="00052448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www.aretheyregistered.ca</w:t>
              </w:r>
            </w:hyperlink>
            <w:r w:rsidR="00015F45" w:rsidRPr="00052448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GB"/>
              </w:rPr>
              <w:t xml:space="preserve">  </w:t>
            </w:r>
            <w:r w:rsidR="00015F45" w:rsidRPr="00052448">
              <w:rPr>
                <w:rStyle w:val="Hyperlink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  <w:lang w:val="en-GB"/>
              </w:rPr>
              <w:t>[Instructions: Delete if the funding portal is not operated by a registered dealer.]</w:t>
            </w:r>
          </w:p>
        </w:tc>
      </w:tr>
    </w:tbl>
    <w:p w14:paraId="2CA32C0D" w14:textId="77777777" w:rsidR="005B1DAB" w:rsidRPr="00052448" w:rsidRDefault="005B1DAB" w:rsidP="001470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1" w:name="_GoBack"/>
      <w:bookmarkEnd w:id="1"/>
    </w:p>
    <w:sectPr w:rsidR="005B1DAB" w:rsidRPr="00052448" w:rsidSect="00AD2205">
      <w:headerReference w:type="default" r:id="rId9"/>
      <w:footerReference w:type="default" r:id="rId10"/>
      <w:footerReference w:type="first" r:id="rId11"/>
      <w:pgSz w:w="12240" w:h="15840"/>
      <w:pgMar w:top="1440" w:right="1800" w:bottom="1138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A7BF6" w14:textId="77777777" w:rsidR="00FB66E8" w:rsidRDefault="00FB66E8" w:rsidP="005C32D7">
      <w:pPr>
        <w:spacing w:after="0" w:line="240" w:lineRule="auto"/>
      </w:pPr>
      <w:r>
        <w:separator/>
      </w:r>
    </w:p>
  </w:endnote>
  <w:endnote w:type="continuationSeparator" w:id="0">
    <w:p w14:paraId="4F673384" w14:textId="77777777" w:rsidR="00FB66E8" w:rsidRDefault="00FB66E8" w:rsidP="005C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78DD5" w14:textId="7AC4D1E5" w:rsidR="00A74081" w:rsidRPr="00A74081" w:rsidRDefault="00A74081">
    <w:pPr>
      <w:pStyle w:val="Footer"/>
      <w:rPr>
        <w:rFonts w:ascii="Times New Roman" w:hAnsi="Times New Roman" w:cs="Times New Roman"/>
        <w:sz w:val="16"/>
        <w:lang w:val="en-CA"/>
      </w:rPr>
    </w:pPr>
    <w:r>
      <w:rPr>
        <w:rFonts w:ascii="Times New Roman" w:hAnsi="Times New Roman" w:cs="Times New Roman"/>
        <w:sz w:val="16"/>
        <w:lang w:val="en-CA"/>
      </w:rPr>
      <w:t>5468716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0D07B" w14:textId="04902364" w:rsidR="00764848" w:rsidRPr="00E32520" w:rsidRDefault="00E32520" w:rsidP="00E32520">
    <w:pPr>
      <w:pStyle w:val="Footer"/>
      <w:rPr>
        <w:rFonts w:ascii="Times New Roman" w:hAnsi="Times New Roman" w:cs="Times New Roman"/>
        <w:sz w:val="16"/>
        <w:lang w:val="en-CA"/>
      </w:rPr>
    </w:pPr>
    <w:r>
      <w:rPr>
        <w:rFonts w:ascii="Times New Roman" w:hAnsi="Times New Roman" w:cs="Times New Roman"/>
        <w:sz w:val="16"/>
        <w:lang w:val="en-CA"/>
      </w:rPr>
      <w:t>5468716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99A51" w14:textId="77777777" w:rsidR="00FB66E8" w:rsidRDefault="00FB66E8" w:rsidP="005C32D7">
      <w:pPr>
        <w:spacing w:after="0" w:line="240" w:lineRule="auto"/>
      </w:pPr>
      <w:r>
        <w:separator/>
      </w:r>
    </w:p>
  </w:footnote>
  <w:footnote w:type="continuationSeparator" w:id="0">
    <w:p w14:paraId="4D46FEB4" w14:textId="77777777" w:rsidR="00FB66E8" w:rsidRDefault="00FB66E8" w:rsidP="005C3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9222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F23C77F" w14:textId="2B3F6F7C" w:rsidR="00447EFB" w:rsidRPr="00EC1677" w:rsidRDefault="00447EFB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C16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167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C16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408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C167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184C7B8" w14:textId="77777777" w:rsidR="00007408" w:rsidRDefault="000074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23513"/>
    <w:multiLevelType w:val="hybridMultilevel"/>
    <w:tmpl w:val="C80AAC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42B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57614"/>
    <w:multiLevelType w:val="hybridMultilevel"/>
    <w:tmpl w:val="DA9C3FA4"/>
    <w:lvl w:ilvl="0" w:tplc="0B8650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C97FBD"/>
    <w:multiLevelType w:val="hybridMultilevel"/>
    <w:tmpl w:val="AC944E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03A19"/>
    <w:multiLevelType w:val="hybridMultilevel"/>
    <w:tmpl w:val="298AE0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4D"/>
    <w:rsid w:val="00001451"/>
    <w:rsid w:val="00003D6C"/>
    <w:rsid w:val="00007408"/>
    <w:rsid w:val="000077E8"/>
    <w:rsid w:val="00015F45"/>
    <w:rsid w:val="00024B0A"/>
    <w:rsid w:val="00031B12"/>
    <w:rsid w:val="00031B8E"/>
    <w:rsid w:val="00033519"/>
    <w:rsid w:val="0003605C"/>
    <w:rsid w:val="0004185B"/>
    <w:rsid w:val="00052448"/>
    <w:rsid w:val="000969A4"/>
    <w:rsid w:val="00096FB4"/>
    <w:rsid w:val="000D2A72"/>
    <w:rsid w:val="000D38DD"/>
    <w:rsid w:val="000E46EB"/>
    <w:rsid w:val="00126AAD"/>
    <w:rsid w:val="001451EF"/>
    <w:rsid w:val="00145C22"/>
    <w:rsid w:val="001470D3"/>
    <w:rsid w:val="00156FE8"/>
    <w:rsid w:val="00175014"/>
    <w:rsid w:val="00193743"/>
    <w:rsid w:val="001A5469"/>
    <w:rsid w:val="001A6C43"/>
    <w:rsid w:val="001C0205"/>
    <w:rsid w:val="001E1A09"/>
    <w:rsid w:val="001E1D31"/>
    <w:rsid w:val="001E4EAC"/>
    <w:rsid w:val="001E6D28"/>
    <w:rsid w:val="001F5F8C"/>
    <w:rsid w:val="00213534"/>
    <w:rsid w:val="00236432"/>
    <w:rsid w:val="00240B7C"/>
    <w:rsid w:val="002517D2"/>
    <w:rsid w:val="00251B81"/>
    <w:rsid w:val="00254EB8"/>
    <w:rsid w:val="00260A1E"/>
    <w:rsid w:val="0027382D"/>
    <w:rsid w:val="002739EC"/>
    <w:rsid w:val="002B3F8B"/>
    <w:rsid w:val="002B6E29"/>
    <w:rsid w:val="002D1564"/>
    <w:rsid w:val="002F3818"/>
    <w:rsid w:val="002F6264"/>
    <w:rsid w:val="003172A9"/>
    <w:rsid w:val="00324663"/>
    <w:rsid w:val="00327F16"/>
    <w:rsid w:val="00352A51"/>
    <w:rsid w:val="00353894"/>
    <w:rsid w:val="003565EB"/>
    <w:rsid w:val="00391D66"/>
    <w:rsid w:val="003A3ADA"/>
    <w:rsid w:val="003B097C"/>
    <w:rsid w:val="003B0F90"/>
    <w:rsid w:val="003B27ED"/>
    <w:rsid w:val="003D0F6D"/>
    <w:rsid w:val="003D7CD1"/>
    <w:rsid w:val="003E012F"/>
    <w:rsid w:val="003E4D49"/>
    <w:rsid w:val="003F4B5C"/>
    <w:rsid w:val="003F509B"/>
    <w:rsid w:val="003F72C0"/>
    <w:rsid w:val="00420744"/>
    <w:rsid w:val="00442FED"/>
    <w:rsid w:val="00447EFB"/>
    <w:rsid w:val="004573FD"/>
    <w:rsid w:val="00457959"/>
    <w:rsid w:val="00457D10"/>
    <w:rsid w:val="00464649"/>
    <w:rsid w:val="004768CD"/>
    <w:rsid w:val="00492D49"/>
    <w:rsid w:val="00493D38"/>
    <w:rsid w:val="00495E54"/>
    <w:rsid w:val="004A7BC1"/>
    <w:rsid w:val="004B1695"/>
    <w:rsid w:val="004C3D92"/>
    <w:rsid w:val="004F1275"/>
    <w:rsid w:val="00522445"/>
    <w:rsid w:val="00551E2A"/>
    <w:rsid w:val="005725D8"/>
    <w:rsid w:val="005847DE"/>
    <w:rsid w:val="00591E03"/>
    <w:rsid w:val="00593A81"/>
    <w:rsid w:val="005B1DAB"/>
    <w:rsid w:val="005B20CF"/>
    <w:rsid w:val="005C32D7"/>
    <w:rsid w:val="005D7A42"/>
    <w:rsid w:val="0061633F"/>
    <w:rsid w:val="00623B1E"/>
    <w:rsid w:val="00626E50"/>
    <w:rsid w:val="00636451"/>
    <w:rsid w:val="00650119"/>
    <w:rsid w:val="00656606"/>
    <w:rsid w:val="006603CA"/>
    <w:rsid w:val="00664314"/>
    <w:rsid w:val="00680AFF"/>
    <w:rsid w:val="006C2F5F"/>
    <w:rsid w:val="006D34A2"/>
    <w:rsid w:val="006D47D0"/>
    <w:rsid w:val="00700B30"/>
    <w:rsid w:val="007024B5"/>
    <w:rsid w:val="00727E28"/>
    <w:rsid w:val="00732078"/>
    <w:rsid w:val="00734546"/>
    <w:rsid w:val="00764848"/>
    <w:rsid w:val="00792387"/>
    <w:rsid w:val="00793DE9"/>
    <w:rsid w:val="007D4F31"/>
    <w:rsid w:val="007D6625"/>
    <w:rsid w:val="007E7CBB"/>
    <w:rsid w:val="00802EAC"/>
    <w:rsid w:val="00805463"/>
    <w:rsid w:val="0082090B"/>
    <w:rsid w:val="008347D0"/>
    <w:rsid w:val="00864D49"/>
    <w:rsid w:val="00876F93"/>
    <w:rsid w:val="00885903"/>
    <w:rsid w:val="00894C6F"/>
    <w:rsid w:val="008C465E"/>
    <w:rsid w:val="008D5623"/>
    <w:rsid w:val="008E1E26"/>
    <w:rsid w:val="009031C4"/>
    <w:rsid w:val="0090678A"/>
    <w:rsid w:val="0093235D"/>
    <w:rsid w:val="0096028F"/>
    <w:rsid w:val="0099135E"/>
    <w:rsid w:val="0099242C"/>
    <w:rsid w:val="009A209A"/>
    <w:rsid w:val="009A611A"/>
    <w:rsid w:val="009C564E"/>
    <w:rsid w:val="009D1F4D"/>
    <w:rsid w:val="009F3D56"/>
    <w:rsid w:val="009F6EE3"/>
    <w:rsid w:val="00A01C1C"/>
    <w:rsid w:val="00A0797C"/>
    <w:rsid w:val="00A1321F"/>
    <w:rsid w:val="00A4752A"/>
    <w:rsid w:val="00A57C25"/>
    <w:rsid w:val="00A74081"/>
    <w:rsid w:val="00A82978"/>
    <w:rsid w:val="00A962CC"/>
    <w:rsid w:val="00AA25FE"/>
    <w:rsid w:val="00AA4FB6"/>
    <w:rsid w:val="00AA7503"/>
    <w:rsid w:val="00AB273F"/>
    <w:rsid w:val="00AB3C70"/>
    <w:rsid w:val="00AD2205"/>
    <w:rsid w:val="00B17D0B"/>
    <w:rsid w:val="00B41E1C"/>
    <w:rsid w:val="00B64E0F"/>
    <w:rsid w:val="00B664C3"/>
    <w:rsid w:val="00B962B3"/>
    <w:rsid w:val="00BA3D4D"/>
    <w:rsid w:val="00BA7AF9"/>
    <w:rsid w:val="00BB3337"/>
    <w:rsid w:val="00BC5335"/>
    <w:rsid w:val="00BC59EB"/>
    <w:rsid w:val="00C14667"/>
    <w:rsid w:val="00C1543C"/>
    <w:rsid w:val="00C66600"/>
    <w:rsid w:val="00C6700E"/>
    <w:rsid w:val="00CA0512"/>
    <w:rsid w:val="00CA3EEA"/>
    <w:rsid w:val="00CA474F"/>
    <w:rsid w:val="00CA699D"/>
    <w:rsid w:val="00CB5600"/>
    <w:rsid w:val="00CC1FE7"/>
    <w:rsid w:val="00CD5A50"/>
    <w:rsid w:val="00CE7307"/>
    <w:rsid w:val="00CF4C49"/>
    <w:rsid w:val="00D034D8"/>
    <w:rsid w:val="00D05A4E"/>
    <w:rsid w:val="00D11BBA"/>
    <w:rsid w:val="00D37DAA"/>
    <w:rsid w:val="00D53F25"/>
    <w:rsid w:val="00D6541C"/>
    <w:rsid w:val="00D7215D"/>
    <w:rsid w:val="00D813CC"/>
    <w:rsid w:val="00D8190C"/>
    <w:rsid w:val="00D81C54"/>
    <w:rsid w:val="00D86588"/>
    <w:rsid w:val="00DC661C"/>
    <w:rsid w:val="00DD59A4"/>
    <w:rsid w:val="00DD6947"/>
    <w:rsid w:val="00E02B49"/>
    <w:rsid w:val="00E05019"/>
    <w:rsid w:val="00E32520"/>
    <w:rsid w:val="00E80CD3"/>
    <w:rsid w:val="00E936AB"/>
    <w:rsid w:val="00E96B93"/>
    <w:rsid w:val="00EB5650"/>
    <w:rsid w:val="00EC1677"/>
    <w:rsid w:val="00EE2674"/>
    <w:rsid w:val="00EE5303"/>
    <w:rsid w:val="00EE7FC2"/>
    <w:rsid w:val="00F0300F"/>
    <w:rsid w:val="00F071EC"/>
    <w:rsid w:val="00F1784A"/>
    <w:rsid w:val="00F36729"/>
    <w:rsid w:val="00F40755"/>
    <w:rsid w:val="00F472D8"/>
    <w:rsid w:val="00F5196A"/>
    <w:rsid w:val="00FA08CC"/>
    <w:rsid w:val="00FA5DF2"/>
    <w:rsid w:val="00FA6EB0"/>
    <w:rsid w:val="00FB66E8"/>
    <w:rsid w:val="00FB69EB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63F7A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D4D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D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D4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34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5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546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546"/>
    <w:rPr>
      <w:b/>
      <w:bCs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551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13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32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2D7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32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2D7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6700E"/>
    <w:rPr>
      <w:color w:val="800080" w:themeColor="followedHyperlink"/>
      <w:u w:val="single"/>
    </w:rPr>
  </w:style>
  <w:style w:type="paragraph" w:customStyle="1" w:styleId="Default">
    <w:name w:val="Default"/>
    <w:rsid w:val="00D05A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etheyregistered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curities-administrators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653DF29E.dotm</Template>
  <TotalTime>0</TotalTime>
  <Pages>2</Pages>
  <Words>518</Words>
  <Characters>2957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2019-10-02T19:11:00Z</dcterms:created>
  <dcterms:modified xsi:type="dcterms:W3CDTF">2019-10-02T19:11:00Z</dcterms:modified>
</cp:coreProperties>
</file>